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B3AC3" w14:textId="77777777" w:rsidR="00831856" w:rsidRDefault="00000000">
      <w:pPr>
        <w:spacing w:after="0" w:line="240" w:lineRule="auto"/>
        <w:jc w:val="center"/>
      </w:pPr>
      <w:r>
        <w:rPr>
          <w:b/>
          <w:sz w:val="36"/>
        </w:rPr>
        <w:t>John Kalagidis</w:t>
      </w:r>
    </w:p>
    <w:p w14:paraId="637A05BB" w14:textId="3AD07FB5" w:rsidR="00831856" w:rsidRPr="00CB3826" w:rsidRDefault="00000000" w:rsidP="004C1A1B">
      <w:pPr>
        <w:spacing w:line="240" w:lineRule="auto"/>
        <w:jc w:val="center"/>
        <w:rPr>
          <w:rFonts w:ascii="Aptos" w:hAnsi="Aptos"/>
        </w:rPr>
      </w:pPr>
      <w:r w:rsidRPr="00CB3826">
        <w:rPr>
          <w:rFonts w:ascii="Aptos" w:hAnsi="Aptos"/>
          <w:sz w:val="17"/>
        </w:rPr>
        <w:t xml:space="preserve">Atlanta, Georgia, United States | 704-929-7300 | JohnKalagidis@gmail.com | </w:t>
      </w:r>
      <w:hyperlink r:id="rId6" w:history="1">
        <w:r w:rsidR="00831856" w:rsidRPr="00054548">
          <w:rPr>
            <w:rStyle w:val="Hyperlink"/>
            <w:rFonts w:ascii="Aptos" w:hAnsi="Aptos"/>
            <w:sz w:val="17"/>
          </w:rPr>
          <w:t>LinkedIn</w:t>
        </w:r>
      </w:hyperlink>
      <w:r w:rsidRPr="00CB3826">
        <w:rPr>
          <w:rFonts w:ascii="Aptos" w:hAnsi="Aptos"/>
          <w:sz w:val="17"/>
        </w:rPr>
        <w:t xml:space="preserve"> | </w:t>
      </w:r>
      <w:hyperlink r:id="rId7" w:history="1">
        <w:r w:rsidR="00831856" w:rsidRPr="00054548">
          <w:rPr>
            <w:rStyle w:val="Hyperlink"/>
            <w:rFonts w:ascii="Aptos" w:hAnsi="Aptos"/>
            <w:sz w:val="17"/>
          </w:rPr>
          <w:t>Professional Portfolio</w:t>
        </w:r>
      </w:hyperlink>
    </w:p>
    <w:p w14:paraId="5B3ACE4B" w14:textId="77777777" w:rsidR="00831856" w:rsidRPr="00CB3826" w:rsidRDefault="00000000" w:rsidP="004C1A1B">
      <w:pPr>
        <w:spacing w:after="0" w:line="240" w:lineRule="auto"/>
        <w:jc w:val="center"/>
        <w:rPr>
          <w:rFonts w:ascii="Aptos" w:hAnsi="Aptos"/>
        </w:rPr>
      </w:pPr>
      <w:r w:rsidRPr="00CB3826">
        <w:rPr>
          <w:rFonts w:ascii="Aptos" w:hAnsi="Aptos"/>
          <w:b/>
          <w:sz w:val="21"/>
        </w:rPr>
        <w:t>HEALTHCARE BUSINESS ANALYST | PRODUCT OWNER | CLINICAL WORKFLOWS | INTEROPERABILITY | AGILE</w:t>
      </w:r>
    </w:p>
    <w:p w14:paraId="7A08FAA5" w14:textId="77777777" w:rsidR="00831856" w:rsidRPr="00CB3826" w:rsidRDefault="00000000">
      <w:pPr>
        <w:spacing w:after="60" w:line="240" w:lineRule="auto"/>
        <w:rPr>
          <w:rFonts w:ascii="Aptos" w:hAnsi="Aptos"/>
        </w:rPr>
      </w:pPr>
      <w:r w:rsidRPr="00CB3826">
        <w:rPr>
          <w:rFonts w:ascii="Aptos" w:hAnsi="Aptos"/>
        </w:rPr>
        <w:t>Healthcare technology Business Analyst and Certified Scrum Product Owner (CSPO) with 15+ years of experience translating product strategy, customer needs, and complex workflows into actionable requirements, prioritized backlogs, user stories, acceptance criteria, and measurable digital solutions. Experience spans Epic EMR, PBM/pharmacy benefits, prior authorization, chronic disease and diabetes workflows, product discovery, UX research, analytics, API-based integrations, and healthcare interoperability. Proven collaborator across Engineering, QA, UX, business, clinical, payer, provider, and customer-facing teams, with a record of improving delivery speed, adoption, workflow efficiency, and patient access.</w:t>
      </w:r>
    </w:p>
    <w:p w14:paraId="45847F42" w14:textId="77777777" w:rsidR="00831856" w:rsidRPr="00CB3826" w:rsidRDefault="00000000">
      <w:pPr>
        <w:keepNext/>
        <w:pBdr>
          <w:bottom w:val="single" w:sz="4" w:space="1" w:color="666666"/>
        </w:pBdr>
        <w:spacing w:before="100"/>
        <w:rPr>
          <w:rFonts w:ascii="Aptos" w:hAnsi="Aptos"/>
        </w:rPr>
      </w:pPr>
      <w:r w:rsidRPr="00CB3826">
        <w:rPr>
          <w:rFonts w:ascii="Aptos" w:hAnsi="Aptos"/>
          <w:b/>
          <w:sz w:val="21"/>
        </w:rPr>
        <w:t>CORE COMPETENCIES</w:t>
      </w:r>
    </w:p>
    <w:p w14:paraId="0712CF70" w14:textId="77777777" w:rsidR="00831856" w:rsidRPr="00CB3826" w:rsidRDefault="00000000">
      <w:pPr>
        <w:spacing w:after="60" w:line="240" w:lineRule="auto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Business Analysis | Agile Product Ownership | Product Discovery | Backlog Management &amp; Prioritization | Requirements Gathering | User Stories &amp; Acceptance Criteria | Functional &amp; Workflow Documentation | Clinical Workflow Analysis | EHR/EMR Integration | Healthcare Interoperability | HL7 | FHIR | X12 278 Prior Authorization | API Integrations | Product Analytics &amp; Feature Adoption | Release Planning &amp; Support | UAT &amp; QA Collaboration | Jira | Confluence | HIPAA &amp; CMS Compliance | Stakeholder Management | Patient Access | PBM | Chronic Disease &amp; Diabetes Technology | Value-Based Care Awareness</w:t>
      </w:r>
    </w:p>
    <w:p w14:paraId="77ACA199" w14:textId="77777777" w:rsidR="00831856" w:rsidRPr="00CB3826" w:rsidRDefault="00000000">
      <w:pPr>
        <w:keepNext/>
        <w:pBdr>
          <w:bottom w:val="single" w:sz="4" w:space="1" w:color="666666"/>
        </w:pBdr>
        <w:spacing w:before="100"/>
        <w:rPr>
          <w:rFonts w:ascii="Aptos" w:hAnsi="Aptos"/>
        </w:rPr>
      </w:pPr>
      <w:r w:rsidRPr="00CB3826">
        <w:rPr>
          <w:rFonts w:ascii="Aptos" w:hAnsi="Aptos"/>
          <w:b/>
          <w:sz w:val="21"/>
        </w:rPr>
        <w:t>TECHNICAL SKILLS</w:t>
      </w:r>
    </w:p>
    <w:p w14:paraId="34C06757" w14:textId="77777777" w:rsidR="00831856" w:rsidRPr="00CB3826" w:rsidRDefault="00000000">
      <w:pPr>
        <w:spacing w:after="60" w:line="240" w:lineRule="auto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Epic EMR | CoverMyMeds | Jira | Confluence | Salesforce CRM | Power BI | Business Intelligence Dashboards | API Integrations | HL7 | FHIR | X12 278 | EHR Integrations | SDLC | Agile Scrum &amp; Kanban | User Story Development | Requirements Analysis | Workflow Automation | QA Testing | UAT | Product &amp; UX Analytics | Microsoft Office</w:t>
      </w:r>
    </w:p>
    <w:p w14:paraId="544938B7" w14:textId="77777777" w:rsidR="00831856" w:rsidRPr="00CB3826" w:rsidRDefault="00000000">
      <w:pPr>
        <w:keepNext/>
        <w:pBdr>
          <w:bottom w:val="single" w:sz="4" w:space="1" w:color="666666"/>
        </w:pBdr>
        <w:spacing w:before="100"/>
        <w:rPr>
          <w:rFonts w:ascii="Aptos" w:hAnsi="Aptos"/>
        </w:rPr>
      </w:pPr>
      <w:r w:rsidRPr="00CB3826">
        <w:rPr>
          <w:rFonts w:ascii="Aptos" w:hAnsi="Aptos"/>
          <w:b/>
          <w:sz w:val="21"/>
        </w:rPr>
        <w:t>PROFESSIONAL EXPERIENCE</w:t>
      </w:r>
    </w:p>
    <w:p w14:paraId="77975A16" w14:textId="1A50BA54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Prior Authorization Specialist &amp; E</w:t>
      </w:r>
      <w:r w:rsidR="008F2BCC">
        <w:rPr>
          <w:rFonts w:ascii="Aptos" w:hAnsi="Aptos"/>
          <w:b/>
        </w:rPr>
        <w:t>H</w:t>
      </w:r>
      <w:r w:rsidRPr="00CB3826">
        <w:rPr>
          <w:rFonts w:ascii="Aptos" w:hAnsi="Aptos"/>
          <w:b/>
        </w:rPr>
        <w:t>R IT Analyst  |  11/2025 to Current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Atlanta Diabetes Associates – Atlanta, Georgia, USA</w:t>
      </w:r>
    </w:p>
    <w:p w14:paraId="0467F907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Analyze provider, payer, pharmacy, and patient workflows within Epic EMR and translate operational needs into standardized processes that improve chronic diabetes care coordination and patient access.</w:t>
      </w:r>
    </w:p>
    <w:p w14:paraId="23C93EE9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Spearheaded implementation of CoverMyMeds integration within Epic EMR, improving prior authorization workflows, supporting API-based interoperability, and strengthening knowledge of X12 278 payer-provider transactions while reducing processing time by 40%.</w:t>
      </w:r>
    </w:p>
    <w:p w14:paraId="7A7F416A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Developed standardized authorization workflows for insulin pumps, CGMs, blood glucose meters, testing supplies, insulin therapies, and medications, increasing approval rates by 35%.</w:t>
      </w:r>
    </w:p>
    <w:p w14:paraId="7EFD785D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Process high-volume requests across Medicare, Medicaid, and commercial plans while maintaining 98% documentation accuracy and HIPAA/CMS-aligned practices.</w:t>
      </w:r>
    </w:p>
    <w:p w14:paraId="5CFF8789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Collaborate with physicians, pharmacists, payers, patients, and technical stakeholders to identify workflow barriers, clarify requirements, resolve authorization issues, and reduce delays to life-sustaining therapies.</w:t>
      </w:r>
    </w:p>
    <w:p w14:paraId="52FB800B" w14:textId="5B0A18AB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Senior Product Owner (Contract)  |  07/2021 to 11/2024</w:t>
      </w:r>
      <w:r w:rsidR="00CB3826">
        <w:rPr>
          <w:rFonts w:ascii="Aptos" w:hAnsi="Aptos"/>
          <w:b/>
        </w:rPr>
        <w:t xml:space="preserve">    F</w:t>
      </w:r>
      <w:r w:rsidRPr="00CB3826">
        <w:rPr>
          <w:rFonts w:ascii="Aptos" w:hAnsi="Aptos"/>
          <w:i/>
          <w:sz w:val="17"/>
        </w:rPr>
        <w:t>loor &amp; Decor LLC – Atlanta, Georgia, USA</w:t>
      </w:r>
    </w:p>
    <w:p w14:paraId="156C1438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Owned and prioritized Agile product backlogs across ETL, Salesforce, and frontend workstreams; translated business strategy and stakeholder needs into sprint-ready user stories, acceptance criteria, and delivery priorities.</w:t>
      </w:r>
    </w:p>
    <w:p w14:paraId="6E50633C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Led backlog refinement, sprint planning, requirements clarification, stakeholder reviews, and release coordination, increasing feature delivery by 50% within three months and delivery predictability by 40%.</w:t>
      </w:r>
    </w:p>
    <w:p w14:paraId="1CFBEC29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Partnered with Engineering, QA, business stakeholders, and technical teams throughout the SDLC to clarify workflows, validate requirements, support testing/UAT, and reduce project bottlenecks by 35%.</w:t>
      </w:r>
    </w:p>
    <w:p w14:paraId="079FA203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Managed end-to-end product lifecycle and integration initiatives, improving operational workflows and accelerating release cycles by 30%.</w:t>
      </w:r>
    </w:p>
    <w:p w14:paraId="169A7691" w14:textId="426EC582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Digital Product Manager (Contract)  |  04/2021 to 07/2021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Credit Karma LLC – Atlanta, Georgia, USA</w:t>
      </w:r>
    </w:p>
    <w:p w14:paraId="3EC35E5C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Translated customer and business needs into digital product enhancements and API integration initiatives, increasing operational efficiency by 50%.</w:t>
      </w:r>
    </w:p>
    <w:p w14:paraId="6807C669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Partnered with cross-functional teams on product discovery, workflow analysis, launch readiness, and optimization of customer experiences.</w:t>
      </w:r>
    </w:p>
    <w:p w14:paraId="0D53A5EE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Used product performance and customer behavior insights to improve engagement by 50% and reduce manual publishing effort by 60%.</w:t>
      </w:r>
    </w:p>
    <w:p w14:paraId="7C759A33" w14:textId="686F5F07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Digital User Experience Product Manager (Contract)  |  10/2019 to 04/2021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Superior Essex Inc. – Atlanta, Georgia, USA</w:t>
      </w:r>
    </w:p>
    <w:p w14:paraId="46A99B60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Led product discovery, UX architecture, stakeholder requirements, and digital transformation across sixteen corporate websites for a $750M global organization.</w:t>
      </w:r>
    </w:p>
    <w:p w14:paraId="73BA8DA9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Converted customer and business needs into implementation roadmaps and workflow improvements, accelerating go-to-market timelines by 45%.</w:t>
      </w:r>
    </w:p>
    <w:p w14:paraId="56D979CA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Managed vendor and cross-functional delivery strategies that improved operational efficiency by 60% and strengthened digital engagement.</w:t>
      </w:r>
    </w:p>
    <w:p w14:paraId="678E1372" w14:textId="76219ACF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Digital Product Manager  |  02/2018 to 09/2019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Independent Consultant – Atlanta, Georgia, USA</w:t>
      </w:r>
    </w:p>
    <w:p w14:paraId="508CDFD8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Conducted customer workflow and user behavior analysis to identify product opportunities, improving website engagement by 50% and session duration by 70%.</w:t>
      </w:r>
    </w:p>
    <w:p w14:paraId="47743CBB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Developed prioritized implementation roadmaps and requirements that improved project delivery timelines by 85%.</w:t>
      </w:r>
    </w:p>
    <w:p w14:paraId="3A0B4CD3" w14:textId="34D3D910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lastRenderedPageBreak/>
        <w:t>Associate Director, Ecommerce Product Strategy  |  10/2016 to 01/2018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Cricket Wireless LLC – Atlanta, Georgia, USA</w:t>
      </w:r>
    </w:p>
    <w:p w14:paraId="5E8F0FFE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Led customer-centered product strategy and cross-functional delivery, increasing cart conversion 50% within three weeks and reducing abandonment 25%.</w:t>
      </w:r>
    </w:p>
    <w:p w14:paraId="31657F35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Used analytics, customer feedback, and workflow optimization to prioritize enhancements and improve digital purchasing journeys.</w:t>
      </w:r>
    </w:p>
    <w:p w14:paraId="7CF245E4" w14:textId="018906D2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Senior Manager, User Experience Research  |  04/2015 to 10/2016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Cricket Wireless LLC – Atlanta, Georgia, USA</w:t>
      </w:r>
    </w:p>
    <w:p w14:paraId="7570416C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Led product discovery and customer research using analytics, usability testing, surveys, focus groups, prototype testing, and customer feedback to identify actionable product requirements.</w:t>
      </w:r>
    </w:p>
    <w:p w14:paraId="6E8AC757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Improved feature development effectiveness by 90% and first-time purchase rates by 15%; delivered insights supporting product adoption, customer satisfaction, and release success.</w:t>
      </w:r>
    </w:p>
    <w:p w14:paraId="069C8032" w14:textId="452177E7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Senior User Experience Architect  |  07/2014 to 04/2015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The Home Depot – Atlanta, Georgia, USA</w:t>
      </w:r>
    </w:p>
    <w:p w14:paraId="3CEEB5C3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Gathered business and user requirements and partnered with product, design, and development teams in Agile delivery, improving feature delivery speed by 50%.</w:t>
      </w:r>
    </w:p>
    <w:p w14:paraId="2CBFCB23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Improved team productivity by 55% through structured sprint management and cross-functional collaboration.</w:t>
      </w:r>
    </w:p>
    <w:p w14:paraId="51300EF4" w14:textId="1896070C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Principal User Experience Information Architect (Contract)  |  04/2014 to 06/2014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TIAA LLC – Charlotte, North Carolina, USA</w:t>
      </w:r>
    </w:p>
    <w:p w14:paraId="3BBA96E2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Analyzed enterprise service workflows and requirements to improve knowledge management, compliance, information retrieval, and customer-service effectiveness.</w:t>
      </w:r>
    </w:p>
    <w:p w14:paraId="7B20E9C1" w14:textId="656CE966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Senior User Experience Architect  |  12/2012 to 11/2013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Belk Inc. – Charlotte, North Carolina, USA</w:t>
      </w:r>
    </w:p>
    <w:p w14:paraId="38B482A2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Led cross-functional workflow and user-experience analysis supporting enterprise digital initiatives, operational efficiency, and customer engagement.</w:t>
      </w:r>
    </w:p>
    <w:p w14:paraId="3F9426F1" w14:textId="7207EAAD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Senior User Experience Architect (Contract)  |  06/2011 to 11/2012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Lowe's LLC – Mooresville, North Carolina, USA</w:t>
      </w:r>
    </w:p>
    <w:p w14:paraId="31A6C757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Partnered with product and design teams to define and deliver digital requirements, increasing online revenue by 40% and product discovery by 40%.</w:t>
      </w:r>
    </w:p>
    <w:p w14:paraId="6056E59F" w14:textId="1ECA3AF2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Healthcare Solutions Architect  |  01/2010 to 05/2011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J. Walter Thompson (UnitedHealth Group Account) – Minneapolis, Minnesota, USA</w:t>
      </w:r>
    </w:p>
    <w:p w14:paraId="00B3E19A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Translated healthcare member, provider, pharmacy, payer, and business needs into enterprise prescription-management workflows and digital product solutions.</w:t>
      </w:r>
    </w:p>
    <w:p w14:paraId="0FE28673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Led formulary management, pharmacy selector, medication-access, and utilization-management experiences that increased mail-order utilization by 75% and prescription-management engagement by 80%.</w:t>
      </w:r>
    </w:p>
    <w:p w14:paraId="004C916B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Facilitated cross-functional requirements and workflow alignment while ensuring CMS and HIPAA compliance across healthcare solutions serving millions of members.</w:t>
      </w:r>
    </w:p>
    <w:p w14:paraId="2CD7E356" w14:textId="56C2AF47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Senior Information Architect  |  0</w:t>
      </w:r>
      <w:r w:rsidR="00C661BE">
        <w:rPr>
          <w:rFonts w:ascii="Aptos" w:hAnsi="Aptos"/>
          <w:b/>
        </w:rPr>
        <w:t>7</w:t>
      </w:r>
      <w:r w:rsidRPr="00CB3826">
        <w:rPr>
          <w:rFonts w:ascii="Aptos" w:hAnsi="Aptos"/>
          <w:b/>
        </w:rPr>
        <w:t>/200</w:t>
      </w:r>
      <w:r w:rsidR="00C661BE">
        <w:rPr>
          <w:rFonts w:ascii="Aptos" w:hAnsi="Aptos"/>
          <w:b/>
        </w:rPr>
        <w:t>7</w:t>
      </w:r>
      <w:r w:rsidRPr="00CB3826">
        <w:rPr>
          <w:rFonts w:ascii="Aptos" w:hAnsi="Aptos"/>
          <w:b/>
        </w:rPr>
        <w:t xml:space="preserve"> to 01/2009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J. Walter Thompson (UnitedHealth Group Account) – Minneapolis, Minnesota, USA</w:t>
      </w:r>
    </w:p>
    <w:p w14:paraId="7139226A" w14:textId="77777777" w:rsidR="0083185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Facilitated stakeholder workshops to gather healthcare requirements, document workflows, align business objectives with technology solutions, and support successful product launches and adoption.</w:t>
      </w:r>
    </w:p>
    <w:p w14:paraId="0021B56A" w14:textId="0BB81821" w:rsidR="00C661BE" w:rsidRPr="00CB3826" w:rsidRDefault="00C661BE" w:rsidP="00C661BE">
      <w:pPr>
        <w:keepNext/>
        <w:spacing w:before="60" w:after="0"/>
        <w:rPr>
          <w:rFonts w:ascii="Aptos" w:hAnsi="Aptos"/>
        </w:rPr>
      </w:pPr>
      <w:r>
        <w:rPr>
          <w:rFonts w:ascii="Aptos" w:hAnsi="Aptos"/>
          <w:b/>
        </w:rPr>
        <w:t>Business Analyst (Contract)</w:t>
      </w:r>
      <w:r w:rsidRPr="00CB3826">
        <w:rPr>
          <w:rFonts w:ascii="Aptos" w:hAnsi="Aptos"/>
          <w:b/>
        </w:rPr>
        <w:t xml:space="preserve">  |  01/200</w:t>
      </w:r>
      <w:r>
        <w:rPr>
          <w:rFonts w:ascii="Aptos" w:hAnsi="Aptos"/>
          <w:b/>
        </w:rPr>
        <w:t>8</w:t>
      </w:r>
      <w:r w:rsidRPr="00CB3826">
        <w:rPr>
          <w:rFonts w:ascii="Aptos" w:hAnsi="Aptos"/>
          <w:b/>
        </w:rPr>
        <w:t xml:space="preserve"> to </w:t>
      </w:r>
      <w:r>
        <w:rPr>
          <w:rFonts w:ascii="Aptos" w:hAnsi="Aptos"/>
          <w:b/>
        </w:rPr>
        <w:t>05</w:t>
      </w:r>
      <w:r w:rsidRPr="00CB3826">
        <w:rPr>
          <w:rFonts w:ascii="Aptos" w:hAnsi="Aptos"/>
          <w:b/>
        </w:rPr>
        <w:t>/200</w:t>
      </w:r>
      <w:r>
        <w:rPr>
          <w:rFonts w:ascii="Aptos" w:hAnsi="Aptos"/>
          <w:b/>
        </w:rPr>
        <w:t xml:space="preserve">8    </w:t>
      </w:r>
      <w:r>
        <w:rPr>
          <w:rFonts w:ascii="Aptos" w:hAnsi="Aptos"/>
          <w:i/>
          <w:sz w:val="17"/>
        </w:rPr>
        <w:t>Analysts International (now Innova Solutions</w:t>
      </w:r>
      <w:r w:rsidRPr="00CB3826">
        <w:rPr>
          <w:rFonts w:ascii="Aptos" w:hAnsi="Aptos"/>
          <w:i/>
          <w:sz w:val="17"/>
        </w:rPr>
        <w:t xml:space="preserve"> – </w:t>
      </w:r>
      <w:r>
        <w:rPr>
          <w:rFonts w:ascii="Aptos" w:hAnsi="Aptos"/>
          <w:i/>
          <w:sz w:val="17"/>
        </w:rPr>
        <w:t>Minneapolis, Minnesota</w:t>
      </w:r>
      <w:r w:rsidRPr="00CB3826">
        <w:rPr>
          <w:rFonts w:ascii="Aptos" w:hAnsi="Aptos"/>
          <w:i/>
          <w:sz w:val="17"/>
        </w:rPr>
        <w:t>, USA</w:t>
      </w:r>
    </w:p>
    <w:p w14:paraId="46CB4BA4" w14:textId="27BEF84D" w:rsidR="00C661BE" w:rsidRDefault="00C661BE" w:rsidP="00C661BE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661BE">
        <w:rPr>
          <w:rFonts w:ascii="Aptos" w:hAnsi="Aptos"/>
          <w:szCs w:val="18"/>
        </w:rPr>
        <w:t>Gathered and translated Target Pharmacy business requirements and operational workflows into actionable system requirements, partnering with business and technology stakeholders to support pharmacy technology solutions</w:t>
      </w:r>
      <w:r>
        <w:rPr>
          <w:rFonts w:ascii="Aptos" w:hAnsi="Aptos"/>
          <w:szCs w:val="18"/>
        </w:rPr>
        <w:t xml:space="preserve"> to NCPDP standards</w:t>
      </w:r>
      <w:r w:rsidRPr="00C661BE">
        <w:rPr>
          <w:rFonts w:ascii="Aptos" w:hAnsi="Aptos"/>
          <w:szCs w:val="18"/>
        </w:rPr>
        <w:t>.</w:t>
      </w:r>
    </w:p>
    <w:p w14:paraId="59631F26" w14:textId="3BD24AF9" w:rsidR="00C661BE" w:rsidRPr="00C661BE" w:rsidRDefault="00C661BE" w:rsidP="00C661BE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661BE">
        <w:rPr>
          <w:rFonts w:ascii="Aptos" w:hAnsi="Aptos"/>
          <w:szCs w:val="18"/>
        </w:rPr>
        <w:t>Conducted pharmacy workflow and business process analysis to identify requirements, improve operational efficiency, and support successful delivery of customer-centered healthcare technology.</w:t>
      </w:r>
    </w:p>
    <w:p w14:paraId="7F91B9E0" w14:textId="1B7E73F2" w:rsidR="005257EF" w:rsidRPr="00CB3826" w:rsidRDefault="005257EF" w:rsidP="005257EF">
      <w:pPr>
        <w:keepNext/>
        <w:spacing w:before="60" w:after="0"/>
        <w:rPr>
          <w:rFonts w:ascii="Aptos" w:hAnsi="Aptos"/>
        </w:rPr>
      </w:pPr>
      <w:r>
        <w:rPr>
          <w:rFonts w:ascii="Aptos" w:hAnsi="Aptos"/>
          <w:b/>
        </w:rPr>
        <w:t>Systems Analyst III</w:t>
      </w:r>
      <w:r w:rsidRPr="00CB3826">
        <w:rPr>
          <w:rFonts w:ascii="Aptos" w:hAnsi="Aptos"/>
          <w:b/>
        </w:rPr>
        <w:t xml:space="preserve">  |  01/200</w:t>
      </w:r>
      <w:r>
        <w:rPr>
          <w:rFonts w:ascii="Aptos" w:hAnsi="Aptos"/>
          <w:b/>
        </w:rPr>
        <w:t>7</w:t>
      </w:r>
      <w:r w:rsidRPr="00CB3826">
        <w:rPr>
          <w:rFonts w:ascii="Aptos" w:hAnsi="Aptos"/>
          <w:b/>
        </w:rPr>
        <w:t xml:space="preserve"> to 01/200</w:t>
      </w:r>
      <w:r>
        <w:rPr>
          <w:rFonts w:ascii="Aptos" w:hAnsi="Aptos"/>
          <w:b/>
        </w:rPr>
        <w:t xml:space="preserve">8    </w:t>
      </w:r>
      <w:r w:rsidR="00C661BE">
        <w:rPr>
          <w:rFonts w:ascii="Aptos" w:hAnsi="Aptos"/>
          <w:i/>
          <w:sz w:val="17"/>
        </w:rPr>
        <w:t>Per-Se Technologies (now part of McKesson)</w:t>
      </w:r>
      <w:r w:rsidRPr="00CB3826">
        <w:rPr>
          <w:rFonts w:ascii="Aptos" w:hAnsi="Aptos"/>
          <w:i/>
          <w:sz w:val="17"/>
        </w:rPr>
        <w:t xml:space="preserve"> – </w:t>
      </w:r>
      <w:r w:rsidR="00C661BE">
        <w:rPr>
          <w:rFonts w:ascii="Aptos" w:hAnsi="Aptos"/>
          <w:i/>
          <w:sz w:val="17"/>
        </w:rPr>
        <w:t>Pittsburgh, Pennsylvania</w:t>
      </w:r>
      <w:r w:rsidRPr="00CB3826">
        <w:rPr>
          <w:rFonts w:ascii="Aptos" w:hAnsi="Aptos"/>
          <w:i/>
          <w:sz w:val="17"/>
        </w:rPr>
        <w:t>, USA</w:t>
      </w:r>
    </w:p>
    <w:p w14:paraId="7E854128" w14:textId="77777777" w:rsidR="005C7F79" w:rsidRPr="005C7F79" w:rsidRDefault="005C7F79" w:rsidP="005C7F79">
      <w:pPr>
        <w:pStyle w:val="ListBullet"/>
        <w:spacing w:after="20" w:line="240" w:lineRule="auto"/>
        <w:ind w:left="259" w:hanging="173"/>
        <w:rPr>
          <w:rFonts w:ascii="Aptos" w:hAnsi="Aptos"/>
        </w:rPr>
      </w:pPr>
      <w:r w:rsidRPr="005C7F79">
        <w:rPr>
          <w:rFonts w:ascii="Aptos" w:hAnsi="Aptos"/>
          <w:szCs w:val="18"/>
        </w:rPr>
        <w:t>Gathered and translated pharmacy, payer, and operational requirements into functional system requirements and prioritized development work for high-volume pharmacy technology platforms.</w:t>
      </w:r>
    </w:p>
    <w:p w14:paraId="767AAE68" w14:textId="182F4116" w:rsidR="005C7F79" w:rsidRPr="005C7F79" w:rsidRDefault="005C7F79" w:rsidP="005C7F79">
      <w:pPr>
        <w:pStyle w:val="ListBullet"/>
        <w:spacing w:after="20" w:line="240" w:lineRule="auto"/>
        <w:ind w:left="259" w:hanging="173"/>
        <w:rPr>
          <w:rFonts w:ascii="Aptos" w:hAnsi="Aptos"/>
        </w:rPr>
      </w:pPr>
      <w:r w:rsidRPr="005C7F79">
        <w:rPr>
          <w:rFonts w:ascii="Aptos" w:hAnsi="Aptos"/>
        </w:rPr>
        <w:t>Conducted workflow and requirements analysis, documenting business processes, user needs, and system functionality while partnering with developers and QA to clarify requirements and validate solutions.</w:t>
      </w:r>
    </w:p>
    <w:p w14:paraId="3D099998" w14:textId="05AEFD0C" w:rsidR="004C1A1B" w:rsidRPr="004C1A1B" w:rsidRDefault="005C7F79" w:rsidP="004C1A1B">
      <w:pPr>
        <w:pStyle w:val="ListBullet"/>
        <w:spacing w:line="240" w:lineRule="auto"/>
        <w:ind w:left="259" w:hanging="173"/>
        <w:rPr>
          <w:rFonts w:ascii="Aptos" w:hAnsi="Aptos"/>
        </w:rPr>
      </w:pPr>
      <w:r w:rsidRPr="005C7F79">
        <w:rPr>
          <w:rFonts w:ascii="Aptos" w:hAnsi="Aptos"/>
        </w:rPr>
        <w:t>Served as the liaison between business, pharmacy, payer, and technical stakeholders, translating complex pharmacy workflows into actionable requirements that improved transaction processing, operational efficiency, and solution delivery.</w:t>
      </w:r>
    </w:p>
    <w:p w14:paraId="7F873396" w14:textId="19B694C9" w:rsidR="005257EF" w:rsidRPr="00CB3826" w:rsidRDefault="005257EF" w:rsidP="004C1A1B">
      <w:pPr>
        <w:pStyle w:val="ListBullet"/>
        <w:numPr>
          <w:ilvl w:val="0"/>
          <w:numId w:val="0"/>
        </w:numPr>
        <w:spacing w:after="0" w:line="240" w:lineRule="auto"/>
        <w:rPr>
          <w:rFonts w:ascii="Aptos" w:hAnsi="Aptos"/>
        </w:rPr>
      </w:pPr>
      <w:r w:rsidRPr="00CB3826">
        <w:rPr>
          <w:rFonts w:ascii="Aptos" w:hAnsi="Aptos"/>
          <w:b/>
        </w:rPr>
        <w:t>Pharmacy Product Business Analyst  |  01/2005 to 01/2007</w:t>
      </w:r>
      <w:r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Progressive Medical – Westerville, Ohio, USA</w:t>
      </w:r>
    </w:p>
    <w:p w14:paraId="0FE80A9B" w14:textId="77777777" w:rsidR="004C1A1B" w:rsidRDefault="004C1A1B" w:rsidP="004C1A1B">
      <w:pPr>
        <w:pStyle w:val="ListParagraph"/>
        <w:keepNext/>
        <w:numPr>
          <w:ilvl w:val="0"/>
          <w:numId w:val="13"/>
        </w:numPr>
        <w:spacing w:before="60" w:after="0"/>
        <w:ind w:left="270" w:hanging="180"/>
        <w:rPr>
          <w:rFonts w:ascii="Aptos" w:hAnsi="Aptos"/>
          <w:szCs w:val="18"/>
        </w:rPr>
      </w:pPr>
      <w:r w:rsidRPr="004C1A1B">
        <w:rPr>
          <w:rFonts w:ascii="Aptos" w:hAnsi="Aptos"/>
          <w:szCs w:val="18"/>
        </w:rPr>
        <w:t>Gathered and translated PBM, pharmacy, and prior authorization business requirements into system requirements and workflow improvements, reducing claim-processing delays by 30%.</w:t>
      </w:r>
    </w:p>
    <w:p w14:paraId="3239903D" w14:textId="29290EFC" w:rsidR="004C1A1B" w:rsidRPr="004C1A1B" w:rsidRDefault="004C1A1B" w:rsidP="004C1A1B">
      <w:pPr>
        <w:pStyle w:val="ListParagraph"/>
        <w:keepNext/>
        <w:numPr>
          <w:ilvl w:val="0"/>
          <w:numId w:val="13"/>
        </w:numPr>
        <w:spacing w:before="60" w:after="0"/>
        <w:ind w:left="270" w:hanging="180"/>
        <w:rPr>
          <w:rFonts w:ascii="Aptos" w:hAnsi="Aptos"/>
          <w:szCs w:val="18"/>
        </w:rPr>
      </w:pPr>
      <w:r w:rsidRPr="004C1A1B">
        <w:rPr>
          <w:rFonts w:ascii="Aptos" w:hAnsi="Aptos"/>
          <w:szCs w:val="18"/>
        </w:rPr>
        <w:t>Partnered with Pharmacy &amp; Therapeutics and operational stakeholders to support formulary management, eligibility verification, prior authorization, benefit investigations, appeals, and medication-access workflows.</w:t>
      </w:r>
    </w:p>
    <w:p w14:paraId="1C258261" w14:textId="59F10F62" w:rsidR="00831856" w:rsidRPr="00CB3826" w:rsidRDefault="00000000" w:rsidP="00CB3826">
      <w:pPr>
        <w:keepNext/>
        <w:spacing w:before="60" w:after="0"/>
        <w:rPr>
          <w:rFonts w:ascii="Aptos" w:hAnsi="Aptos"/>
        </w:rPr>
      </w:pPr>
      <w:r w:rsidRPr="00CB3826">
        <w:rPr>
          <w:rFonts w:ascii="Aptos" w:hAnsi="Aptos"/>
          <w:b/>
        </w:rPr>
        <w:t>Pharmacy Systems Specialist  |  01/2002 to 01/2005</w:t>
      </w:r>
      <w:r w:rsidR="00CB3826">
        <w:rPr>
          <w:rFonts w:ascii="Aptos" w:hAnsi="Aptos"/>
          <w:b/>
        </w:rPr>
        <w:t xml:space="preserve">    </w:t>
      </w:r>
      <w:r w:rsidRPr="00CB3826">
        <w:rPr>
          <w:rFonts w:ascii="Aptos" w:hAnsi="Aptos"/>
          <w:i/>
          <w:sz w:val="17"/>
        </w:rPr>
        <w:t>Medco Health – Columbus, Ohio, USA</w:t>
      </w:r>
    </w:p>
    <w:p w14:paraId="660773B7" w14:textId="77777777" w:rsidR="00831856" w:rsidRPr="00CB3826" w:rsidRDefault="00000000">
      <w:pPr>
        <w:pStyle w:val="ListBullet"/>
        <w:spacing w:after="20"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Supported high-volume prior authorization, benefit verification, pharmacy claims, and denial-resolution workflows across Medicare, Medicaid, and commercial plans.</w:t>
      </w:r>
    </w:p>
    <w:p w14:paraId="46EF2153" w14:textId="77777777" w:rsidR="00831856" w:rsidRPr="00CB3826" w:rsidRDefault="00000000" w:rsidP="00CB3826">
      <w:pPr>
        <w:pStyle w:val="ListBullet"/>
        <w:spacing w:line="240" w:lineRule="auto"/>
        <w:ind w:left="259" w:hanging="173"/>
        <w:rPr>
          <w:rFonts w:ascii="Aptos" w:hAnsi="Aptos"/>
          <w:szCs w:val="18"/>
        </w:rPr>
      </w:pPr>
      <w:r w:rsidRPr="00CB3826">
        <w:rPr>
          <w:rFonts w:ascii="Aptos" w:hAnsi="Aptos"/>
          <w:szCs w:val="18"/>
        </w:rPr>
        <w:t>Coordinated with physicians, patients, pharmacies, and insurers to resolve requirements and accelerate access to prescribed therapies.</w:t>
      </w:r>
    </w:p>
    <w:p w14:paraId="5EDE51EE" w14:textId="77777777" w:rsidR="00831856" w:rsidRPr="00CB3826" w:rsidRDefault="00000000">
      <w:pPr>
        <w:keepNext/>
        <w:pBdr>
          <w:bottom w:val="single" w:sz="4" w:space="1" w:color="666666"/>
        </w:pBdr>
        <w:spacing w:before="100"/>
        <w:rPr>
          <w:rFonts w:ascii="Aptos" w:hAnsi="Aptos"/>
        </w:rPr>
      </w:pPr>
      <w:r w:rsidRPr="00CB3826">
        <w:rPr>
          <w:rFonts w:ascii="Aptos" w:hAnsi="Aptos"/>
          <w:b/>
          <w:sz w:val="21"/>
        </w:rPr>
        <w:t>EDUCATION &amp; CERTIFICATION</w:t>
      </w:r>
    </w:p>
    <w:p w14:paraId="4F15DE15" w14:textId="77777777" w:rsidR="005257EF" w:rsidRPr="005257EF" w:rsidRDefault="00000000" w:rsidP="005257EF">
      <w:pPr>
        <w:pStyle w:val="ListParagraph"/>
        <w:numPr>
          <w:ilvl w:val="0"/>
          <w:numId w:val="11"/>
        </w:numPr>
        <w:spacing w:after="20" w:line="240" w:lineRule="auto"/>
        <w:ind w:left="270" w:hanging="180"/>
        <w:rPr>
          <w:rFonts w:ascii="Aptos" w:hAnsi="Aptos"/>
        </w:rPr>
      </w:pPr>
      <w:r w:rsidRPr="00CB3826">
        <w:rPr>
          <w:rFonts w:ascii="Aptos" w:hAnsi="Aptos"/>
          <w:b/>
        </w:rPr>
        <w:t>Certified Scrum Product Owner (CSPO)</w:t>
      </w:r>
    </w:p>
    <w:p w14:paraId="6D3BA2FD" w14:textId="77777777" w:rsidR="005257EF" w:rsidRPr="005257EF" w:rsidRDefault="00000000" w:rsidP="005257EF">
      <w:pPr>
        <w:pStyle w:val="ListParagraph"/>
        <w:numPr>
          <w:ilvl w:val="0"/>
          <w:numId w:val="11"/>
        </w:numPr>
        <w:spacing w:after="20" w:line="240" w:lineRule="auto"/>
        <w:ind w:left="270" w:hanging="180"/>
        <w:rPr>
          <w:rFonts w:ascii="Aptos" w:hAnsi="Aptos"/>
        </w:rPr>
      </w:pPr>
      <w:r w:rsidRPr="005257EF">
        <w:rPr>
          <w:rFonts w:ascii="Aptos" w:hAnsi="Aptos"/>
          <w:b/>
          <w:bCs/>
          <w:szCs w:val="18"/>
        </w:rPr>
        <w:t>Bachelor of Science, Health Education &amp; Sports Medicine</w:t>
      </w:r>
      <w:r w:rsidRPr="005257EF">
        <w:rPr>
          <w:rFonts w:ascii="Aptos" w:hAnsi="Aptos"/>
          <w:szCs w:val="18"/>
        </w:rPr>
        <w:t xml:space="preserve"> – The Ohio State University, Columbus, Ohio | Varsity Athletic Trainer</w:t>
      </w:r>
    </w:p>
    <w:p w14:paraId="6211E0A0" w14:textId="414E2058" w:rsidR="00CB3826" w:rsidRPr="005257EF" w:rsidRDefault="00000000" w:rsidP="005257EF">
      <w:pPr>
        <w:pStyle w:val="ListParagraph"/>
        <w:numPr>
          <w:ilvl w:val="0"/>
          <w:numId w:val="11"/>
        </w:numPr>
        <w:spacing w:after="20" w:line="240" w:lineRule="auto"/>
        <w:ind w:left="270" w:hanging="180"/>
        <w:rPr>
          <w:rFonts w:ascii="Aptos" w:hAnsi="Aptos"/>
        </w:rPr>
      </w:pPr>
      <w:r w:rsidRPr="005257EF">
        <w:rPr>
          <w:rFonts w:ascii="Aptos" w:hAnsi="Aptos"/>
          <w:b/>
          <w:bCs/>
          <w:szCs w:val="18"/>
        </w:rPr>
        <w:t>Associate of Arts, Digital Communication &amp; Multimedia</w:t>
      </w:r>
      <w:r w:rsidRPr="005257EF">
        <w:rPr>
          <w:rFonts w:ascii="Aptos" w:hAnsi="Aptos"/>
          <w:szCs w:val="18"/>
        </w:rPr>
        <w:t xml:space="preserve"> – Art Institute of Atlanta, Atlanta, Georgia | Best in Show Portfolio Award</w:t>
      </w:r>
    </w:p>
    <w:sectPr w:rsidR="00CB3826" w:rsidRPr="005257EF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5046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31CA8"/>
    <w:multiLevelType w:val="hybridMultilevel"/>
    <w:tmpl w:val="3A4C0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D5F65"/>
    <w:multiLevelType w:val="hybridMultilevel"/>
    <w:tmpl w:val="E5EAC9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0B2C4D"/>
    <w:multiLevelType w:val="hybridMultilevel"/>
    <w:tmpl w:val="7B701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4773C"/>
    <w:multiLevelType w:val="hybridMultilevel"/>
    <w:tmpl w:val="05087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482272">
    <w:abstractNumId w:val="8"/>
  </w:num>
  <w:num w:numId="2" w16cid:durableId="563488942">
    <w:abstractNumId w:val="6"/>
  </w:num>
  <w:num w:numId="3" w16cid:durableId="839544178">
    <w:abstractNumId w:val="5"/>
  </w:num>
  <w:num w:numId="4" w16cid:durableId="1686588016">
    <w:abstractNumId w:val="4"/>
  </w:num>
  <w:num w:numId="5" w16cid:durableId="972101464">
    <w:abstractNumId w:val="7"/>
  </w:num>
  <w:num w:numId="6" w16cid:durableId="1442337394">
    <w:abstractNumId w:val="3"/>
  </w:num>
  <w:num w:numId="7" w16cid:durableId="1205945293">
    <w:abstractNumId w:val="2"/>
  </w:num>
  <w:num w:numId="8" w16cid:durableId="707723578">
    <w:abstractNumId w:val="1"/>
  </w:num>
  <w:num w:numId="9" w16cid:durableId="354044122">
    <w:abstractNumId w:val="0"/>
  </w:num>
  <w:num w:numId="10" w16cid:durableId="678697963">
    <w:abstractNumId w:val="10"/>
  </w:num>
  <w:num w:numId="11" w16cid:durableId="976763305">
    <w:abstractNumId w:val="11"/>
  </w:num>
  <w:num w:numId="12" w16cid:durableId="1072435734">
    <w:abstractNumId w:val="9"/>
  </w:num>
  <w:num w:numId="13" w16cid:durableId="161236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548"/>
    <w:rsid w:val="0006063C"/>
    <w:rsid w:val="0015074B"/>
    <w:rsid w:val="0029639D"/>
    <w:rsid w:val="00326F90"/>
    <w:rsid w:val="00347CF3"/>
    <w:rsid w:val="00360D06"/>
    <w:rsid w:val="004C1A1B"/>
    <w:rsid w:val="004F02F1"/>
    <w:rsid w:val="005257EF"/>
    <w:rsid w:val="005C7F79"/>
    <w:rsid w:val="00831856"/>
    <w:rsid w:val="008F2BCC"/>
    <w:rsid w:val="00AA1D8D"/>
    <w:rsid w:val="00B47730"/>
    <w:rsid w:val="00C661BE"/>
    <w:rsid w:val="00CB0664"/>
    <w:rsid w:val="00CB38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050117"/>
  <w14:defaultImageDpi w14:val="300"/>
  <w15:docId w15:val="{E53F5557-E8E3-4DC4-A4F9-DCDEC6E4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545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ohnkalagidis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john-kalagidi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Kalagidis - ChronicCareIQ Business Analyst Resume</vt:lpstr>
    </vt:vector>
  </TitlesOfParts>
  <Manager/>
  <Company/>
  <LinksUpToDate>false</LinksUpToDate>
  <CharactersWithSpaces>10980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Kalagidis - ChronicCareIQ Business Analyst Resume</dc:title>
  <dc:subject>ATS-optimized healthcare Business Analyst resume</dc:subject>
  <dc:creator>John Kalagidis</dc:creator>
  <cp:keywords/>
  <dc:description>generated by python-docx</dc:description>
  <cp:lastModifiedBy>John Kalagidis</cp:lastModifiedBy>
  <cp:revision>2</cp:revision>
  <dcterms:created xsi:type="dcterms:W3CDTF">2026-08-23T18:32:00Z</dcterms:created>
  <dcterms:modified xsi:type="dcterms:W3CDTF">2026-08-23T18:32:00Z</dcterms:modified>
  <cp:category/>
</cp:coreProperties>
</file>